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DA" w:rsidRDefault="0089247E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6602DA" w:rsidRDefault="0089247E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评分指标</w:t>
      </w:r>
    </w:p>
    <w:p w:rsidR="00AE1A69" w:rsidRPr="00AE1A69" w:rsidRDefault="00AE1A69" w:rsidP="00AE1A69">
      <w:pPr>
        <w:spacing w:line="480" w:lineRule="auto"/>
        <w:rPr>
          <w:rFonts w:cs="Courier New"/>
          <w:b/>
          <w:sz w:val="28"/>
        </w:rPr>
      </w:pPr>
      <w:r>
        <w:rPr>
          <w:rFonts w:cs="Courier New" w:hint="eastAsia"/>
          <w:b/>
          <w:sz w:val="28"/>
        </w:rPr>
        <w:t>评分</w:t>
      </w:r>
      <w:r w:rsidRPr="00AE1A69">
        <w:rPr>
          <w:rFonts w:cs="Courier New" w:hint="eastAsia"/>
          <w:b/>
          <w:sz w:val="28"/>
        </w:rPr>
        <w:t>原则和方法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评分应遵循公开、公平、公正、择优的原则进行。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ind w:rightChars="-62" w:right="-198"/>
        <w:rPr>
          <w:rFonts w:cs="Courier New"/>
        </w:rPr>
      </w:pPr>
      <w:r w:rsidRPr="00AE1A69">
        <w:rPr>
          <w:rFonts w:cs="Courier New" w:hint="eastAsia"/>
        </w:rPr>
        <w:t>评委会将综合分析投标人的各项指标，而不以单项指标的优劣评定。</w:t>
      </w:r>
    </w:p>
    <w:p w:rsidR="00AE1A69" w:rsidRPr="00AE1A69" w:rsidRDefault="00AE1A69" w:rsidP="00AE1A69">
      <w:pPr>
        <w:pStyle w:val="ad"/>
        <w:numPr>
          <w:ilvl w:val="0"/>
          <w:numId w:val="1"/>
        </w:numPr>
        <w:spacing w:line="480" w:lineRule="auto"/>
        <w:rPr>
          <w:rFonts w:cs="Courier New"/>
        </w:rPr>
      </w:pPr>
      <w:r w:rsidRPr="00AE1A69">
        <w:rPr>
          <w:rFonts w:cs="Courier New" w:hint="eastAsia"/>
        </w:rPr>
        <w:t>本次</w:t>
      </w:r>
      <w:r>
        <w:rPr>
          <w:rFonts w:cs="Courier New" w:hint="eastAsia"/>
        </w:rPr>
        <w:t>评分</w:t>
      </w:r>
      <w:r w:rsidRPr="00AE1A69">
        <w:rPr>
          <w:rFonts w:cs="Courier New" w:hint="eastAsia"/>
        </w:rPr>
        <w:t>采用百分制综合评分法进行评标。评分细则如下：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788"/>
      </w:tblGrid>
      <w:tr w:rsidR="006602DA">
        <w:tc>
          <w:tcPr>
            <w:tcW w:w="1413" w:type="dxa"/>
          </w:tcPr>
          <w:p w:rsidR="006602DA" w:rsidRDefault="0089247E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指标名称</w:t>
            </w:r>
          </w:p>
        </w:tc>
        <w:tc>
          <w:tcPr>
            <w:tcW w:w="6095" w:type="dxa"/>
          </w:tcPr>
          <w:p w:rsidR="006602DA" w:rsidRDefault="0089247E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指标内容</w:t>
            </w:r>
          </w:p>
        </w:tc>
        <w:tc>
          <w:tcPr>
            <w:tcW w:w="788" w:type="dxa"/>
          </w:tcPr>
          <w:p w:rsidR="006602DA" w:rsidRDefault="0089247E">
            <w:pPr>
              <w:pStyle w:val="ae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6602DA">
        <w:tc>
          <w:tcPr>
            <w:tcW w:w="1413" w:type="dxa"/>
            <w:vAlign w:val="center"/>
          </w:tcPr>
          <w:p w:rsidR="006602DA" w:rsidRDefault="00AE1A69">
            <w:pPr>
              <w:pStyle w:val="ae"/>
              <w:jc w:val="center"/>
            </w:pPr>
            <w:r>
              <w:rPr>
                <w:rFonts w:hint="eastAsia"/>
              </w:rPr>
              <w:t>评估机构资质</w:t>
            </w:r>
          </w:p>
        </w:tc>
        <w:tc>
          <w:tcPr>
            <w:tcW w:w="6095" w:type="dxa"/>
          </w:tcPr>
          <w:p w:rsidR="006602DA" w:rsidRDefault="0089247E" w:rsidP="00AE1A69">
            <w:pPr>
              <w:pStyle w:val="ae"/>
              <w:jc w:val="both"/>
            </w:pPr>
            <w:r>
              <w:rPr>
                <w:rFonts w:hint="eastAsia"/>
              </w:rPr>
              <w:t>根据机构</w:t>
            </w:r>
            <w:r w:rsidR="00AE1A69" w:rsidRPr="00AE1A69">
              <w:rPr>
                <w:rFonts w:hint="eastAsia"/>
              </w:rPr>
              <w:t>规模、财务状况、信誉、代理业绩以及代理机构主要经济、技术</w:t>
            </w:r>
            <w:r w:rsidR="00AE1A69">
              <w:rPr>
                <w:rFonts w:hint="eastAsia"/>
              </w:rPr>
              <w:t>、管理人员实力，内部管理制度、机构设置情况等方面进行</w:t>
            </w:r>
            <w:r>
              <w:rPr>
                <w:rFonts w:hint="eastAsia"/>
              </w:rPr>
              <w:t>综合打分。</w:t>
            </w:r>
          </w:p>
        </w:tc>
        <w:tc>
          <w:tcPr>
            <w:tcW w:w="788" w:type="dxa"/>
            <w:vAlign w:val="center"/>
          </w:tcPr>
          <w:p w:rsidR="006602DA" w:rsidRDefault="00AE1A69">
            <w:pPr>
              <w:pStyle w:val="ae"/>
              <w:jc w:val="center"/>
            </w:pPr>
            <w:r>
              <w:t>20</w:t>
            </w:r>
          </w:p>
        </w:tc>
      </w:tr>
      <w:tr w:rsidR="006602DA">
        <w:tc>
          <w:tcPr>
            <w:tcW w:w="1413" w:type="dxa"/>
            <w:vAlign w:val="center"/>
          </w:tcPr>
          <w:p w:rsidR="006602DA" w:rsidRDefault="0089247E">
            <w:pPr>
              <w:pStyle w:val="ae"/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6095" w:type="dxa"/>
          </w:tcPr>
          <w:p w:rsidR="006602DA" w:rsidRDefault="0089247E">
            <w:pPr>
              <w:pStyle w:val="ae"/>
              <w:jc w:val="both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人员配置（</w:t>
            </w:r>
            <w:r w:rsidR="00EC78F0">
              <w:t>5</w:t>
            </w:r>
            <w:r w:rsidR="00AE1A69">
              <w:t>分</w:t>
            </w:r>
            <w:r>
              <w:rPr>
                <w:rFonts w:hint="eastAsia"/>
              </w:rPr>
              <w:t>）：拟投入人员情况、执业年限、项目负责人过往业绩等。</w:t>
            </w:r>
          </w:p>
          <w:p w:rsidR="006602DA" w:rsidRDefault="0089247E">
            <w:pPr>
              <w:pStyle w:val="ae"/>
              <w:jc w:val="both"/>
            </w:pPr>
            <w:r>
              <w:t>2.</w:t>
            </w:r>
            <w:r>
              <w:rPr>
                <w:rFonts w:hint="eastAsia"/>
              </w:rPr>
              <w:t>评估程序和实施（</w:t>
            </w:r>
            <w:r w:rsidR="00EC78F0">
              <w:t>5</w:t>
            </w:r>
            <w:r w:rsidR="00AE1A69">
              <w:t>分</w:t>
            </w:r>
            <w:r>
              <w:rPr>
                <w:rFonts w:hint="eastAsia"/>
              </w:rPr>
              <w:t>）：是否熟悉资产评估有关规章制度；是否制定全面、详细、合理、可行的评估程序和方案；能否全面、准确地理解资产评估事项；</w:t>
            </w:r>
            <w:r>
              <w:rPr>
                <w:rFonts w:hint="eastAsia"/>
                <w:szCs w:val="20"/>
              </w:rPr>
              <w:t>进度安排是否紧凑合理，能否保障项目顺畅执行。</w:t>
            </w:r>
          </w:p>
          <w:p w:rsidR="006602DA" w:rsidRDefault="00AE1A69" w:rsidP="00AE1A69">
            <w:pPr>
              <w:pStyle w:val="ae"/>
              <w:jc w:val="both"/>
            </w:pPr>
            <w:r>
              <w:t>3</w:t>
            </w:r>
            <w:r w:rsidR="0089247E">
              <w:t>.</w:t>
            </w:r>
            <w:r w:rsidR="00AB5CC3">
              <w:rPr>
                <w:rFonts w:hint="eastAsia"/>
              </w:rPr>
              <w:t>高校</w:t>
            </w:r>
            <w:r>
              <w:rPr>
                <w:rFonts w:hint="eastAsia"/>
              </w:rPr>
              <w:t>院所</w:t>
            </w:r>
            <w:r w:rsidR="0089247E">
              <w:rPr>
                <w:rFonts w:hint="eastAsia"/>
              </w:rPr>
              <w:t>科技成果资产评估重点分析（</w:t>
            </w:r>
            <w:r>
              <w:t>10</w:t>
            </w:r>
            <w:r>
              <w:t>分</w:t>
            </w:r>
            <w:r w:rsidR="0089247E">
              <w:rPr>
                <w:rFonts w:hint="eastAsia"/>
              </w:rPr>
              <w:t>）：是否熟悉</w:t>
            </w:r>
            <w:r w:rsidR="00AB5CC3">
              <w:rPr>
                <w:rFonts w:hint="eastAsia"/>
              </w:rPr>
              <w:t>高校院所</w:t>
            </w:r>
            <w:r w:rsidR="0089247E">
              <w:rPr>
                <w:rFonts w:hint="eastAsia"/>
              </w:rPr>
              <w:t>科技成果转化有关制度；是否了解</w:t>
            </w:r>
            <w:r w:rsidR="00AB5CC3">
              <w:rPr>
                <w:rFonts w:hint="eastAsia"/>
              </w:rPr>
              <w:t>高校院所</w:t>
            </w:r>
            <w:r w:rsidR="0089247E">
              <w:rPr>
                <w:rFonts w:hint="eastAsia"/>
              </w:rPr>
              <w:t>特点、现状和科技成果转化工作流程；能否充分理解</w:t>
            </w:r>
            <w:r w:rsidR="00AB5CC3">
              <w:rPr>
                <w:rFonts w:hint="eastAsia"/>
              </w:rPr>
              <w:t>高校院所</w:t>
            </w:r>
            <w:r w:rsidR="0089247E">
              <w:rPr>
                <w:rFonts w:hint="eastAsia"/>
              </w:rPr>
              <w:t>科技成果转化需要，把握重难点，根据</w:t>
            </w:r>
            <w:r w:rsidR="00AB5CC3">
              <w:rPr>
                <w:rFonts w:hint="eastAsia"/>
              </w:rPr>
              <w:t>高校院所</w:t>
            </w:r>
            <w:r w:rsidR="0089247E">
              <w:rPr>
                <w:rFonts w:hint="eastAsia"/>
              </w:rPr>
              <w:t>知识产权特点提出针对性措施。</w:t>
            </w:r>
          </w:p>
        </w:tc>
        <w:tc>
          <w:tcPr>
            <w:tcW w:w="788" w:type="dxa"/>
            <w:vAlign w:val="center"/>
          </w:tcPr>
          <w:p w:rsidR="006602DA" w:rsidRDefault="00EC78F0">
            <w:pPr>
              <w:pStyle w:val="ae"/>
              <w:jc w:val="center"/>
            </w:pPr>
            <w:r>
              <w:t>20</w:t>
            </w:r>
          </w:p>
        </w:tc>
      </w:tr>
      <w:tr w:rsidR="006602DA">
        <w:tc>
          <w:tcPr>
            <w:tcW w:w="1413" w:type="dxa"/>
            <w:vAlign w:val="center"/>
          </w:tcPr>
          <w:p w:rsidR="006602DA" w:rsidRDefault="00EC78F0">
            <w:pPr>
              <w:pStyle w:val="ae"/>
              <w:jc w:val="center"/>
            </w:pPr>
            <w:r>
              <w:rPr>
                <w:rFonts w:hint="eastAsia"/>
              </w:rPr>
              <w:t>服务报价</w:t>
            </w:r>
          </w:p>
        </w:tc>
        <w:tc>
          <w:tcPr>
            <w:tcW w:w="6095" w:type="dxa"/>
          </w:tcPr>
          <w:p w:rsidR="006602DA" w:rsidRDefault="00AE1A69">
            <w:pPr>
              <w:pStyle w:val="ae"/>
              <w:jc w:val="both"/>
            </w:pPr>
            <w:r w:rsidRPr="00AE1A69">
              <w:rPr>
                <w:rFonts w:hint="eastAsia"/>
                <w:szCs w:val="20"/>
              </w:rPr>
              <w:t>以本次</w:t>
            </w:r>
            <w:r>
              <w:rPr>
                <w:rFonts w:hint="eastAsia"/>
                <w:szCs w:val="20"/>
              </w:rPr>
              <w:t>遴选</w:t>
            </w:r>
            <w:r w:rsidRPr="00AE1A69">
              <w:rPr>
                <w:rFonts w:hint="eastAsia"/>
                <w:szCs w:val="20"/>
              </w:rPr>
              <w:t>最低的报价为基准报价（</w:t>
            </w:r>
            <w:r w:rsidRPr="00AE1A69">
              <w:rPr>
                <w:rFonts w:hint="eastAsia"/>
                <w:szCs w:val="20"/>
              </w:rPr>
              <w:t>30</w:t>
            </w:r>
            <w:r w:rsidRPr="00AE1A69">
              <w:rPr>
                <w:rFonts w:hint="eastAsia"/>
                <w:szCs w:val="20"/>
              </w:rPr>
              <w:t>分），在此基础上根据上浮百分点酌情减分。</w:t>
            </w:r>
          </w:p>
        </w:tc>
        <w:tc>
          <w:tcPr>
            <w:tcW w:w="788" w:type="dxa"/>
            <w:vAlign w:val="center"/>
          </w:tcPr>
          <w:p w:rsidR="006602DA" w:rsidRDefault="0089247E">
            <w:pPr>
              <w:pStyle w:val="ae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AE1A69" w:rsidTr="00BF363A">
        <w:tc>
          <w:tcPr>
            <w:tcW w:w="1413" w:type="dxa"/>
            <w:vAlign w:val="center"/>
          </w:tcPr>
          <w:p w:rsidR="00AE1A69" w:rsidRDefault="00AE1A69" w:rsidP="00BF363A">
            <w:pPr>
              <w:pStyle w:val="ae"/>
              <w:jc w:val="center"/>
            </w:pPr>
            <w:r>
              <w:rPr>
                <w:rFonts w:hint="eastAsia"/>
              </w:rPr>
              <w:t>类似业绩</w:t>
            </w:r>
          </w:p>
        </w:tc>
        <w:tc>
          <w:tcPr>
            <w:tcW w:w="6095" w:type="dxa"/>
          </w:tcPr>
          <w:p w:rsidR="00AE1A69" w:rsidRDefault="00AE1A69" w:rsidP="00BF6158">
            <w:pPr>
              <w:pStyle w:val="ae"/>
              <w:jc w:val="both"/>
            </w:pPr>
            <w:r>
              <w:rPr>
                <w:rFonts w:hint="eastAsia"/>
                <w:szCs w:val="20"/>
              </w:rPr>
              <w:t>根据机构提供的从事科技成果转化项目资产评估</w:t>
            </w:r>
            <w:bookmarkStart w:id="0" w:name="_GoBack"/>
            <w:bookmarkEnd w:id="0"/>
            <w:r>
              <w:rPr>
                <w:rFonts w:hint="eastAsia"/>
                <w:szCs w:val="20"/>
              </w:rPr>
              <w:t>业务情况进行打分。每提供</w:t>
            </w: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项得</w:t>
            </w:r>
            <w:r w:rsidR="00EC78F0"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分，最多</w:t>
            </w:r>
            <w:r w:rsidR="00EC78F0">
              <w:rPr>
                <w:szCs w:val="20"/>
              </w:rPr>
              <w:lastRenderedPageBreak/>
              <w:t>2</w:t>
            </w:r>
            <w:r>
              <w:rPr>
                <w:szCs w:val="20"/>
              </w:rPr>
              <w:t>0</w:t>
            </w:r>
            <w:r>
              <w:rPr>
                <w:rFonts w:hint="eastAsia"/>
                <w:szCs w:val="20"/>
              </w:rPr>
              <w:t>分。</w:t>
            </w:r>
          </w:p>
        </w:tc>
        <w:tc>
          <w:tcPr>
            <w:tcW w:w="788" w:type="dxa"/>
            <w:vAlign w:val="center"/>
          </w:tcPr>
          <w:p w:rsidR="00AE1A69" w:rsidRDefault="00EC78F0" w:rsidP="00BF363A">
            <w:pPr>
              <w:pStyle w:val="ae"/>
              <w:jc w:val="center"/>
            </w:pPr>
            <w:r>
              <w:lastRenderedPageBreak/>
              <w:t>20</w:t>
            </w:r>
          </w:p>
        </w:tc>
      </w:tr>
      <w:tr w:rsidR="00AE1A69">
        <w:tc>
          <w:tcPr>
            <w:tcW w:w="1413" w:type="dxa"/>
            <w:vAlign w:val="center"/>
          </w:tcPr>
          <w:p w:rsidR="00AE1A69" w:rsidRPr="00821BE0" w:rsidRDefault="00AE1A69" w:rsidP="00AE1A69">
            <w:pPr>
              <w:pStyle w:val="ad"/>
              <w:spacing w:line="500" w:lineRule="exact"/>
              <w:jc w:val="center"/>
            </w:pPr>
            <w:r w:rsidRPr="00821BE0">
              <w:rPr>
                <w:rFonts w:hint="eastAsia"/>
              </w:rPr>
              <w:lastRenderedPageBreak/>
              <w:t>现场答辩</w:t>
            </w:r>
          </w:p>
        </w:tc>
        <w:tc>
          <w:tcPr>
            <w:tcW w:w="6095" w:type="dxa"/>
          </w:tcPr>
          <w:p w:rsidR="00AE1A69" w:rsidRPr="00EF2DED" w:rsidRDefault="00AE1A69" w:rsidP="00AE1A69">
            <w:pPr>
              <w:pStyle w:val="ad"/>
              <w:spacing w:line="500" w:lineRule="exact"/>
              <w:rPr>
                <w:szCs w:val="28"/>
              </w:rPr>
            </w:pPr>
            <w:r w:rsidRPr="00EF2DED">
              <w:rPr>
                <w:rFonts w:hint="eastAsia"/>
                <w:szCs w:val="28"/>
              </w:rPr>
              <w:t>对国有资产中无形资产评估的法律、法规及政策的熟练程度、指派人员语言表达能力等综合素质进行现场考核。</w:t>
            </w:r>
          </w:p>
        </w:tc>
        <w:tc>
          <w:tcPr>
            <w:tcW w:w="788" w:type="dxa"/>
            <w:vAlign w:val="center"/>
          </w:tcPr>
          <w:p w:rsidR="00AE1A69" w:rsidRDefault="00AE1A69" w:rsidP="00AE1A69">
            <w:pPr>
              <w:pStyle w:val="ae"/>
              <w:jc w:val="center"/>
            </w:pPr>
            <w:r>
              <w:t>10</w:t>
            </w:r>
          </w:p>
        </w:tc>
      </w:tr>
    </w:tbl>
    <w:p w:rsidR="006602DA" w:rsidRDefault="006602DA"/>
    <w:sectPr w:rsidR="006602DA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92" w:rsidRDefault="00E10092" w:rsidP="00AE1A69">
      <w:r>
        <w:separator/>
      </w:r>
    </w:p>
  </w:endnote>
  <w:endnote w:type="continuationSeparator" w:id="0">
    <w:p w:rsidR="00E10092" w:rsidRDefault="00E10092" w:rsidP="00AE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92" w:rsidRDefault="00E10092" w:rsidP="00AE1A69">
      <w:r>
        <w:separator/>
      </w:r>
    </w:p>
  </w:footnote>
  <w:footnote w:type="continuationSeparator" w:id="0">
    <w:p w:rsidR="00E10092" w:rsidRDefault="00E10092" w:rsidP="00AE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E7BF0"/>
    <w:multiLevelType w:val="hybridMultilevel"/>
    <w:tmpl w:val="F274E88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7081B"/>
    <w:multiLevelType w:val="hybridMultilevel"/>
    <w:tmpl w:val="50EE0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2"/>
    <w:rsid w:val="00030C79"/>
    <w:rsid w:val="00056E5C"/>
    <w:rsid w:val="0007315F"/>
    <w:rsid w:val="0007565A"/>
    <w:rsid w:val="00086E78"/>
    <w:rsid w:val="000872B6"/>
    <w:rsid w:val="000A6259"/>
    <w:rsid w:val="000C3E84"/>
    <w:rsid w:val="000C6EBD"/>
    <w:rsid w:val="000D1481"/>
    <w:rsid w:val="000E4FA5"/>
    <w:rsid w:val="001260B7"/>
    <w:rsid w:val="0017039B"/>
    <w:rsid w:val="001705ED"/>
    <w:rsid w:val="001850F3"/>
    <w:rsid w:val="00186447"/>
    <w:rsid w:val="001B06AE"/>
    <w:rsid w:val="00204041"/>
    <w:rsid w:val="00205B88"/>
    <w:rsid w:val="00207F45"/>
    <w:rsid w:val="00226420"/>
    <w:rsid w:val="00230849"/>
    <w:rsid w:val="00243C66"/>
    <w:rsid w:val="0029406B"/>
    <w:rsid w:val="002B3764"/>
    <w:rsid w:val="002C40DE"/>
    <w:rsid w:val="002C7EDA"/>
    <w:rsid w:val="002D5C14"/>
    <w:rsid w:val="002E74BB"/>
    <w:rsid w:val="003212C6"/>
    <w:rsid w:val="00324192"/>
    <w:rsid w:val="003274BD"/>
    <w:rsid w:val="00335856"/>
    <w:rsid w:val="00343CF5"/>
    <w:rsid w:val="003660F0"/>
    <w:rsid w:val="003712A5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816D6"/>
    <w:rsid w:val="00486A39"/>
    <w:rsid w:val="00490175"/>
    <w:rsid w:val="00492A14"/>
    <w:rsid w:val="0049458B"/>
    <w:rsid w:val="004B2427"/>
    <w:rsid w:val="004C12EE"/>
    <w:rsid w:val="004D317A"/>
    <w:rsid w:val="004F376F"/>
    <w:rsid w:val="0052595B"/>
    <w:rsid w:val="00556F69"/>
    <w:rsid w:val="005B6C2E"/>
    <w:rsid w:val="005D542B"/>
    <w:rsid w:val="005E2B3F"/>
    <w:rsid w:val="00607D0B"/>
    <w:rsid w:val="00627D16"/>
    <w:rsid w:val="00634A3D"/>
    <w:rsid w:val="0064394F"/>
    <w:rsid w:val="006602DA"/>
    <w:rsid w:val="00661885"/>
    <w:rsid w:val="006634FE"/>
    <w:rsid w:val="00663B95"/>
    <w:rsid w:val="00666E1D"/>
    <w:rsid w:val="00674252"/>
    <w:rsid w:val="00680F33"/>
    <w:rsid w:val="00685384"/>
    <w:rsid w:val="006C5892"/>
    <w:rsid w:val="006E2E58"/>
    <w:rsid w:val="006E59E3"/>
    <w:rsid w:val="006F3065"/>
    <w:rsid w:val="006F4374"/>
    <w:rsid w:val="00706046"/>
    <w:rsid w:val="00706793"/>
    <w:rsid w:val="0071485C"/>
    <w:rsid w:val="00714C79"/>
    <w:rsid w:val="00714F4E"/>
    <w:rsid w:val="00727897"/>
    <w:rsid w:val="00735E82"/>
    <w:rsid w:val="00742071"/>
    <w:rsid w:val="00774624"/>
    <w:rsid w:val="00775904"/>
    <w:rsid w:val="00780090"/>
    <w:rsid w:val="007900A9"/>
    <w:rsid w:val="00795590"/>
    <w:rsid w:val="007A52E8"/>
    <w:rsid w:val="007A78C2"/>
    <w:rsid w:val="007B1454"/>
    <w:rsid w:val="007B44E3"/>
    <w:rsid w:val="007C15BA"/>
    <w:rsid w:val="007F0957"/>
    <w:rsid w:val="007F40C3"/>
    <w:rsid w:val="00805B1C"/>
    <w:rsid w:val="00821F0B"/>
    <w:rsid w:val="0083071D"/>
    <w:rsid w:val="008747F5"/>
    <w:rsid w:val="008755B6"/>
    <w:rsid w:val="0087607F"/>
    <w:rsid w:val="00885D4B"/>
    <w:rsid w:val="0089247E"/>
    <w:rsid w:val="00892767"/>
    <w:rsid w:val="008C4796"/>
    <w:rsid w:val="008D11E2"/>
    <w:rsid w:val="008D298C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E515A"/>
    <w:rsid w:val="00A0516D"/>
    <w:rsid w:val="00A079C2"/>
    <w:rsid w:val="00A12ACE"/>
    <w:rsid w:val="00A23D1F"/>
    <w:rsid w:val="00A451A0"/>
    <w:rsid w:val="00A476CF"/>
    <w:rsid w:val="00A502C6"/>
    <w:rsid w:val="00A61AA6"/>
    <w:rsid w:val="00A94FB5"/>
    <w:rsid w:val="00A960E4"/>
    <w:rsid w:val="00AB5CC3"/>
    <w:rsid w:val="00AC40E4"/>
    <w:rsid w:val="00AD24BA"/>
    <w:rsid w:val="00AD3557"/>
    <w:rsid w:val="00AE1A69"/>
    <w:rsid w:val="00AE3E7B"/>
    <w:rsid w:val="00AF7CE2"/>
    <w:rsid w:val="00B07EA8"/>
    <w:rsid w:val="00B20E99"/>
    <w:rsid w:val="00B2357D"/>
    <w:rsid w:val="00B373AB"/>
    <w:rsid w:val="00B449A1"/>
    <w:rsid w:val="00B97E3E"/>
    <w:rsid w:val="00BB2E6A"/>
    <w:rsid w:val="00BB600A"/>
    <w:rsid w:val="00BE6B67"/>
    <w:rsid w:val="00BF6158"/>
    <w:rsid w:val="00BF6873"/>
    <w:rsid w:val="00C012DE"/>
    <w:rsid w:val="00C050E8"/>
    <w:rsid w:val="00C05127"/>
    <w:rsid w:val="00C23850"/>
    <w:rsid w:val="00C32C8E"/>
    <w:rsid w:val="00C4240D"/>
    <w:rsid w:val="00C66423"/>
    <w:rsid w:val="00C67CBB"/>
    <w:rsid w:val="00CB370E"/>
    <w:rsid w:val="00CC2A05"/>
    <w:rsid w:val="00CD597E"/>
    <w:rsid w:val="00CD5FF1"/>
    <w:rsid w:val="00CE6744"/>
    <w:rsid w:val="00D345E0"/>
    <w:rsid w:val="00D6302A"/>
    <w:rsid w:val="00D64B67"/>
    <w:rsid w:val="00D67B10"/>
    <w:rsid w:val="00D728B2"/>
    <w:rsid w:val="00D95A02"/>
    <w:rsid w:val="00DD69A4"/>
    <w:rsid w:val="00E10092"/>
    <w:rsid w:val="00E12C83"/>
    <w:rsid w:val="00E24E43"/>
    <w:rsid w:val="00E409F6"/>
    <w:rsid w:val="00E50D90"/>
    <w:rsid w:val="00E51283"/>
    <w:rsid w:val="00E54C82"/>
    <w:rsid w:val="00E60132"/>
    <w:rsid w:val="00E637F5"/>
    <w:rsid w:val="00E8154E"/>
    <w:rsid w:val="00E85DA6"/>
    <w:rsid w:val="00EA7A53"/>
    <w:rsid w:val="00EB1DB1"/>
    <w:rsid w:val="00EC78F0"/>
    <w:rsid w:val="00ED7E84"/>
    <w:rsid w:val="00EE5A87"/>
    <w:rsid w:val="00EE6145"/>
    <w:rsid w:val="00EF6076"/>
    <w:rsid w:val="00F268AF"/>
    <w:rsid w:val="00F45C6E"/>
    <w:rsid w:val="00F60F05"/>
    <w:rsid w:val="00F93A29"/>
    <w:rsid w:val="00F968C8"/>
    <w:rsid w:val="00FA12D0"/>
    <w:rsid w:val="00FA4539"/>
    <w:rsid w:val="00FA59DF"/>
    <w:rsid w:val="00FC057D"/>
    <w:rsid w:val="00FD3574"/>
    <w:rsid w:val="104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F96F6-EAD8-41C3-AE4B-E614BD64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Plain Text"/>
    <w:basedOn w:val="a"/>
    <w:link w:val="Char0"/>
    <w:qFormat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qFormat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qFormat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qFormat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qFormat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Pr>
      <w:rFonts w:eastAsia="仿宋_GB2312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89</Words>
  <Characters>513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曾天</cp:lastModifiedBy>
  <cp:revision>557</cp:revision>
  <cp:lastPrinted>2022-11-07T01:09:00Z</cp:lastPrinted>
  <dcterms:created xsi:type="dcterms:W3CDTF">2022-10-18T03:01:00Z</dcterms:created>
  <dcterms:modified xsi:type="dcterms:W3CDTF">2023-02-22T07:17:00Z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